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rPr>
          <w:b/>
          <w:bCs/>
          <w:caps/>
          <w:sz w:val="28"/>
          <w:szCs w:val="28"/>
        </w:rPr>
      </w:pPr>
      <w:r>
        <w:rPr>
          <w:b/>
          <w:bCs/>
          <w:caps/>
          <w:sz w:val="28"/>
          <w:szCs w:val="28"/>
        </w:rPr>
      </w:r>
      <w:r>
        <w:rPr>
          <w:b/>
          <w:bCs/>
          <w:caps/>
          <w:sz w:val="28"/>
          <w:szCs w:val="28"/>
        </w:rPr>
        <w:t xml:space="preserve">Пояснительная записка по ИТ</w:t>
      </w:r>
      <w:r>
        <w:rPr>
          <w:b/>
          <w:bCs/>
          <w:caps/>
          <w:sz w:val="28"/>
          <w:szCs w:val="28"/>
        </w:rPr>
      </w:r>
    </w:p>
    <w:p>
      <w:pPr>
        <w:ind w:left="283" w:right="283"/>
        <w:jc w:val="center"/>
        <w:spacing w:before="283"/>
        <w:rPr>
          <w:b/>
          <w:bCs/>
        </w:rPr>
      </w:pPr>
      <w:r>
        <w:rPr>
          <w:b/>
          <w:bCs/>
        </w:rPr>
        <w:t xml:space="preserve">Приобретение лицензий для импортозамещения систем виртуализации и серверных операционных систем</w:t>
      </w:r>
      <w:r>
        <w:rPr>
          <w:b/>
          <w:bCs/>
        </w:rPr>
      </w:r>
    </w:p>
    <w:p>
      <w:pPr>
        <w:jc w:val="center"/>
        <w:spacing w:before="113"/>
        <w:rPr>
          <w:b/>
          <w:bCs/>
        </w:rPr>
      </w:pPr>
      <w:r>
        <w:rPr>
          <w:b/>
          <w:bCs/>
        </w:rPr>
        <w:t xml:space="preserve">Код проекта - 15.01.10081</w:t>
      </w:r>
      <w:r>
        <w:rPr>
          <w:b/>
          <w:bCs/>
        </w:rPr>
      </w:r>
    </w:p>
    <w:p>
      <w:pPr>
        <w:pStyle w:val="12"/>
        <w:numPr>
          <w:ilvl w:val="0"/>
          <w:numId w:val="1"/>
        </w:numPr>
      </w:pPr>
      <w:r>
        <w:t xml:space="preserve">ОПИСАНИЕ ИПКВ ИТ</w:t>
      </w:r>
      <w:r/>
    </w:p>
    <w:p>
      <w:pPr>
        <w:pStyle w:val="14"/>
        <w:numPr>
          <w:ilvl w:val="1"/>
          <w:numId w:val="1"/>
        </w:numPr>
      </w:pPr>
      <w:r>
        <w:t xml:space="preserve">Объект вложения средств</w:t>
      </w:r>
      <w:r/>
    </w:p>
    <w:p>
      <w:r>
        <w:t xml:space="preserve">АО "Петербургская сбытовая компания"</w:t>
      </w:r>
      <w:r>
        <w:t xml:space="preserve">.</w:t>
      </w:r>
      <w:r/>
    </w:p>
    <w:p>
      <w:pPr>
        <w:rPr>
          <w:color w:val="000000"/>
        </w:rPr>
      </w:pPr>
      <w:r>
        <w:t xml:space="preserve">АО «Петербургская сбытовая компания». Лицензии на программное обеспечение (ПО) РЕД Виртуализация, РЕД ОС «Сервер» будут являться новыми НМА.</w:t>
      </w:r>
      <w:r>
        <w:rPr>
          <w:color w:val="000000"/>
        </w:rPr>
      </w:r>
    </w:p>
    <w:p>
      <w:pPr>
        <w:spacing w:before="283" w:after="283"/>
        <w:rPr>
          <w:b/>
          <w:bCs/>
        </w:rPr>
      </w:pPr>
      <w:r>
        <w:rPr>
          <w:b/>
          <w:bCs/>
        </w:rPr>
        <w:t xml:space="preserve">Инвентарные номера:</w:t>
      </w:r>
      <w:r>
        <w:rPr>
          <w:b/>
          <w:bCs/>
        </w:rPr>
      </w:r>
    </w:p>
    <w:p>
      <w:r/>
    </w:p>
    <w:p>
      <w:pPr>
        <w:pStyle w:val="14"/>
        <w:numPr>
          <w:ilvl w:val="1"/>
          <w:numId w:val="1"/>
        </w:numPr>
      </w:pPr>
      <w:r>
        <w:t xml:space="preserve">Предпосылки / необходимость реализации ИПКВ ИТ</w:t>
      </w:r>
      <w:r/>
    </w:p>
    <w:p>
      <w:pPr>
        <w:rPr>
          <w:color w:val="000000"/>
        </w:rPr>
      </w:pPr>
      <w:r>
        <w:rPr>
          <w:rFonts w:hint="default" w:ascii="Liberation Serif" w:hAnsi="Liberation Serif" w:eastAsia="Liberation Serif" w:cs="Liberation Serif"/>
          <w:color w:val="000000"/>
          <w:sz w:val="24"/>
        </w:rPr>
        <w:t xml:space="preserve">В настоящее время, в инфраструктуре и информационных системах АО «Петербургская сбытовая компания» используется ряд иностранных программных продуктов, относящихся к системам виртуализации (VMware, Oracle VM) и к серверным операционным системам (ОС: Microsoft Windows Server, Red Hat Enterprise Linux, Oracle Linux и др.). </w:t>
      </w:r>
      <w:r>
        <w:rPr>
          <w:color w:val="000000"/>
        </w:rPr>
      </w:r>
    </w:p>
    <w:p>
      <w:pPr>
        <w:rPr>
          <w:color w:val="000000"/>
          <w:sz w:val="26"/>
          <w:szCs w:val="26"/>
        </w:rPr>
      </w:pPr>
      <w:r>
        <w:rPr>
          <w:rFonts w:hint="default" w:ascii="Liberation Serif" w:hAnsi="Liberation Serif" w:eastAsia="Liberation Serif" w:cs="Liberation Serif"/>
          <w:color w:val="000000"/>
          <w:sz w:val="24"/>
        </w:rPr>
        <w:t xml:space="preserve">Все перечисленное ПО подлежит поэтапной замене на отечественные программные продукты в рамках процесса импортозамещения, с учетом положений Стратегии цифровой трансформации Группы «Интер РАО» 2020-2025 с перспективой до 2030 года, утверждённой Советом директоров ПАО «Интер РАО», протокол от 13.08.2024 № 358, и Приказа ПАО «Интер РАО» от 13.09.2022 № ИРАО/393» Об импортонезависимости и безопасности бизнеса Группы ПАО «Интер РАО».</w:t>
      </w:r>
      <w:r>
        <w:rPr>
          <w:color w:val="000000"/>
          <w:sz w:val="26"/>
          <w:szCs w:val="26"/>
        </w:rPr>
      </w:r>
    </w:p>
    <w:p>
      <w:pPr>
        <w:rPr>
          <w:color w:val="000000"/>
          <w:sz w:val="26"/>
          <w:szCs w:val="26"/>
        </w:rPr>
      </w:pPr>
      <w:r>
        <w:rPr>
          <w:rFonts w:hint="default" w:ascii="Liberation Serif" w:hAnsi="Liberation Serif" w:eastAsia="Liberation Serif" w:cs="Liberation Serif"/>
          <w:color w:val="000000"/>
          <w:sz w:val="24"/>
        </w:rPr>
        <w:t xml:space="preserve">В рамках проекта планируется приобретение лицензий на отечественные системы виртуализации (РЕДВирт) и операционные системы (РЕД ОС) в соответствии с текущей потребностью для перевода промышленных гипервизоров и виртуальных машин ИС «Пальмира» (в т.ч. «Сибирь»), ИС «Нева» развернутых на платформе Delta, а также для создания нового тестового стенда для ИС «Единый Биллинг». В 2023 году под нужны ИС «Пальмира» было закуплено 7 лицензий. Однако, разработчик, в рамках исполнения поручений по реализации планов по импортозамещению масштабировал решение на РЕДВирт на большее количество физических серверов: фактически сейчас используется 24 гипервизора на РЕДВирт, планируется и дальше наращивать количество гипервизоров на отечественных ОС. Дополнительно в 2025 тестовый стенд был частично переведен на РЕДВирт, что потребовало еще 4 лицензии. Лицензии РЕД ОС предназначены для перевода части виртуальных машин ИС «Пальмира», «Нева» на импортозамещенные ОС. Требуемое количество продуктов оценено, исходя из фактического состояния платформ, и планов перевода до конца 2026 года.</w:t>
      </w:r>
      <w:r>
        <w:rPr>
          <w:color w:val="000000"/>
          <w:sz w:val="26"/>
          <w:szCs w:val="26"/>
        </w:rPr>
      </w:r>
    </w:p>
    <w:p>
      <w:pPr>
        <w:rPr>
          <w:color w:val="000000"/>
          <w:sz w:val="26"/>
          <w:szCs w:val="26"/>
        </w:rPr>
      </w:pPr>
      <w:r>
        <w:rPr>
          <w:rFonts w:hint="default" w:ascii="Liberation Serif" w:hAnsi="Liberation Serif" w:eastAsia="Liberation Serif" w:cs="Liberation Serif"/>
          <w:color w:val="000000"/>
          <w:sz w:val="24"/>
        </w:rPr>
        <w:t xml:space="preserve">Планы перехода на новый биллинг (OmniUS) не влияют на необходимость приобретения отечественных лицензий, поскольку он состоится не ранее 2028 года, при этом мероприятия по  импортозамещению инфраструктурных элементов должны проводиться в соответствии с установленными целевыми ориентирами.</w:t>
      </w:r>
      <w:r>
        <w:rPr>
          <w:color w:val="000000"/>
          <w:sz w:val="26"/>
          <w:szCs w:val="26"/>
        </w:rPr>
      </w:r>
    </w:p>
    <w:p>
      <w:pPr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</w:r>
    </w:p>
    <w:p>
      <w:pPr>
        <w:pStyle w:val="14"/>
        <w:numPr>
          <w:ilvl w:val="1"/>
          <w:numId w:val="1"/>
        </w:numPr>
      </w:pPr>
      <w:r>
        <w:t xml:space="preserve">Цель ИПКВ ИТ</w:t>
      </w:r>
      <w:r/>
    </w:p>
    <w:p>
      <w:pPr>
        <w:rPr>
          <w:color w:val="000000"/>
        </w:rPr>
      </w:pPr>
      <w:r>
        <w:t xml:space="preserve">Целью проекта является обеспечение импортонезависимости и бесперебойного функционирования инфраструктуры Общества на базе отечественного ПО.</w:t>
      </w:r>
      <w:r>
        <w:rPr>
          <w:color w:val="000000"/>
        </w:rPr>
      </w:r>
    </w:p>
    <w:p>
      <w:pPr>
        <w:pStyle w:val="14"/>
        <w:numPr>
          <w:ilvl w:val="1"/>
          <w:numId w:val="1"/>
        </w:numPr>
      </w:pPr>
      <w:r>
        <w:t xml:space="preserve">Технические решения ИПКВ ИТ</w:t>
      </w:r>
      <w:r/>
    </w:p>
    <w:p>
      <w:pPr>
        <w:rPr>
          <w:color w:val="000000"/>
        </w:rPr>
      </w:pPr>
      <w:r>
        <w:rPr>
          <w:rFonts w:hint="default" w:ascii="Liberation Serif" w:hAnsi="Liberation Serif" w:eastAsia="Liberation Serif" w:cs="Liberation Serif"/>
          <w:color w:val="000000"/>
          <w:sz w:val="24"/>
        </w:rPr>
        <w:t xml:space="preserve">Операционная система РЕД ОС «Сервер» является отечественной разработкой, входит в реестр Минцифры России (запись №3751).  Включает в себя: средство централизованного управления РЕД АДМ; систему мониторинга; серверы баз данных; прокси-сервер; почтовый сервер; службы DNS, DHCP; Web-сервер.</w:t>
      </w:r>
      <w:r>
        <w:rPr>
          <w:color w:val="000000"/>
        </w:rPr>
      </w:r>
    </w:p>
    <w:p>
      <w:pPr>
        <w:rPr>
          <w:color w:val="000000"/>
          <w:sz w:val="26"/>
          <w:szCs w:val="26"/>
        </w:rPr>
      </w:pPr>
      <w:r>
        <w:rPr>
          <w:rFonts w:hint="default" w:ascii="Liberation Serif" w:hAnsi="Liberation Serif" w:eastAsia="Liberation Serif" w:cs="Liberation Serif"/>
          <w:color w:val="000000"/>
          <w:sz w:val="24"/>
        </w:rPr>
        <w:t xml:space="preserve">Система управления виртуализацией серверов и рабочих станций РЕД Виртуализация также является отечественной разработкой, входит в реестр Минцифры России (запись №6929). Базируется на гипервизоре KVM и открытой платформе управления виртуальной инфраструктурой. Имеет централизованное управление - единую консоль для подключения хранилищ, управления серверами виртуализации, виртуальными машинами, кластерами и другими объектами среды виртуализации. Система управления располагается на отказоустойчивой мигрирующей виртуальной машине, вычислительные узлы обеспечивают только функцию выполнения виртуальных машин, что повышает быстродействие. Хранилища располагаются на специальных серверах хранения данных с быстрыми интерфейсами.</w:t>
      </w:r>
      <w:r>
        <w:rPr>
          <w:color w:val="000000"/>
          <w:sz w:val="26"/>
          <w:szCs w:val="26"/>
        </w:rPr>
      </w:r>
    </w:p>
    <w:p>
      <w:pPr>
        <w:rPr>
          <w:color w:val="000000"/>
          <w:sz w:val="26"/>
          <w:szCs w:val="26"/>
        </w:rPr>
      </w:pPr>
      <w:r>
        <w:rPr>
          <w:rFonts w:hint="default" w:ascii="Liberation Serif" w:hAnsi="Liberation Serif" w:eastAsia="Liberation Serif" w:cs="Liberation Serif"/>
          <w:color w:val="000000"/>
          <w:sz w:val="24"/>
        </w:rPr>
        <w:t xml:space="preserve">Выбранные программные продукты соответствуют рекомендациям, выработанным лабораторией по импортозамещению ООО Интер РАО ИТ в рамках протокола ОШ/3 от 07.11.2022</w:t>
      </w:r>
      <w:r>
        <w:rPr>
          <w:color w:val="000000"/>
          <w:sz w:val="26"/>
          <w:szCs w:val="26"/>
        </w:rPr>
      </w:r>
    </w:p>
    <w:p>
      <w:pPr>
        <w:rPr>
          <w:color w:val="000000"/>
          <w:sz w:val="26"/>
          <w:szCs w:val="26"/>
        </w:rPr>
      </w:pPr>
      <w:r>
        <w:t xml:space="preserve">В рамках проекта планируется к приобретению следующие виды и количество лицензий:</w:t>
      </w:r>
      <w:r>
        <w:rPr>
          <w:color w:val="000000"/>
          <w:sz w:val="26"/>
          <w:szCs w:val="26"/>
        </w:rPr>
      </w:r>
    </w:p>
    <w:p>
      <w:pPr>
        <w:rPr>
          <w:color w:val="000000"/>
          <w:sz w:val="26"/>
          <w:szCs w:val="26"/>
        </w:rPr>
      </w:pPr>
      <w:r>
        <w:t xml:space="preserve">Простая (неисключительная) лицензия на право использования Ред Виртуализация на 1 сервер (не более 2 сокетов), без ограничения по кол-ву ВМ, включает лицензию РЕД ОС "Сервер" стандартной редакции и 1 год гарантии стандартного уровня -23шт.;</w:t>
      </w:r>
      <w:r>
        <w:rPr>
          <w:color w:val="000000"/>
          <w:sz w:val="26"/>
          <w:szCs w:val="26"/>
        </w:rPr>
      </w:r>
    </w:p>
    <w:p>
      <w:pPr>
        <w:rPr>
          <w:color w:val="000000"/>
          <w:sz w:val="26"/>
          <w:szCs w:val="26"/>
        </w:rPr>
      </w:pPr>
      <w:r>
        <w:t xml:space="preserve">Простая (неисключительная) лицензия на право использования операционной системы РЕД ОС без ограничения срока действия. Сертифицированная редакция. Конфигурация: Сервер. Включает 1 год гарантии стандартного уровня-20шт.;</w:t>
      </w:r>
      <w:r>
        <w:rPr>
          <w:color w:val="000000"/>
          <w:sz w:val="26"/>
          <w:szCs w:val="26"/>
        </w:rPr>
      </w:r>
    </w:p>
    <w:p>
      <w:pPr>
        <w:rPr>
          <w:color w:val="000000"/>
          <w:sz w:val="26"/>
          <w:szCs w:val="26"/>
        </w:rPr>
      </w:pPr>
      <w:r>
        <w:t xml:space="preserve">Инсталляционный комплект сертифицированной редакции операционной системы РЕД ОС. Состав: упаковка, оптические диски, формуляр, копия сертификата ФСТЭК России-1шт.</w:t>
      </w:r>
      <w:r>
        <w:rPr>
          <w:color w:val="000000"/>
          <w:sz w:val="26"/>
          <w:szCs w:val="26"/>
        </w:rPr>
      </w:r>
    </w:p>
    <w:p>
      <w:pPr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</w:r>
    </w:p>
    <w:p>
      <w:pPr>
        <w:pStyle w:val="14"/>
        <w:numPr>
          <w:ilvl w:val="1"/>
          <w:numId w:val="1"/>
        </w:numPr>
      </w:pPr>
      <w:r>
        <w:t xml:space="preserve">Дополнительная информация</w:t>
      </w:r>
      <w:r/>
    </w:p>
    <w:p>
      <w:pPr>
        <w:rPr>
          <w:color w:val="000000"/>
        </w:rPr>
      </w:pPr>
      <w:r>
        <w:t xml:space="preserve">Данный ИПКВ не включён в стратегические документы компании, и не связан с другими проектами.</w:t>
      </w:r>
      <w:r>
        <w:rPr>
          <w:color w:val="000000"/>
        </w:rPr>
      </w:r>
    </w:p>
    <w:p>
      <w:pPr>
        <w:pStyle w:val="12"/>
        <w:numPr>
          <w:ilvl w:val="0"/>
          <w:numId w:val="1"/>
        </w:numPr>
      </w:pPr>
      <w:r>
        <w:t xml:space="preserve">ОБЪЕМ, СРОКИ И ЗАТРАТЫ ИПКВ</w:t>
      </w:r>
      <w:r/>
    </w:p>
    <w:p>
      <w:pPr>
        <w:pStyle w:val="632"/>
      </w:pPr>
      <w:r>
        <w:t xml:space="preserve">Начало выполнения работ - 2 квартал 2026 г.</w:t>
      </w:r>
      <w:r/>
    </w:p>
    <w:p>
      <w:pPr>
        <w:pStyle w:val="632"/>
        <w:spacing w:before="57"/>
      </w:pPr>
      <w:r>
        <w:t xml:space="preserve">Завершение работ - 2 квартал 2026 г.</w:t>
      </w:r>
      <w:r/>
    </w:p>
    <w:p>
      <w:pPr>
        <w:pStyle w:val="632"/>
        <w:ind w:firstLine="0"/>
        <w:jc w:val="right"/>
        <w:spacing w:before="283" w:after="57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Таблица 1.</w:t>
      </w:r>
      <w:r>
        <w:rPr>
          <w:b/>
          <w:bCs/>
          <w:sz w:val="22"/>
          <w:szCs w:val="22"/>
        </w:rPr>
      </w:r>
    </w:p>
    <w:p>
      <w:pPr>
        <w:pStyle w:val="632"/>
        <w:ind w:firstLine="0"/>
        <w:jc w:val="right"/>
        <w:spacing w:before="0" w:after="57"/>
        <w:rPr>
          <w:sz w:val="22"/>
          <w:szCs w:val="22"/>
        </w:rPr>
      </w:pPr>
      <w:r>
        <w:rPr>
          <w:sz w:val="22"/>
          <w:szCs w:val="22"/>
        </w:rPr>
        <w:t xml:space="preserve">Освоение: тыс. единиц национальной валюты без НДС</w:t>
      </w:r>
      <w:r>
        <w:rPr>
          <w:sz w:val="22"/>
          <w:szCs w:val="22"/>
        </w:rPr>
      </w:r>
    </w:p>
    <w:tbl>
      <w:tblPr>
        <w:tblStyle w:val="813"/>
        <w:tblW w:w="5000" w:type="pct"/>
        <w:jc w:val="center"/>
        <w:tblInd w:w="-567" w:type="dxa"/>
        <w:tblLook w:val="04A0" w:firstRow="1" w:lastRow="0" w:firstColumn="1" w:lastColumn="0" w:noHBand="0" w:noVBand="1"/>
      </w:tblPr>
      <w:tblGrid>
        <w:gridCol w:w="1134"/>
        <w:gridCol w:w="1134"/>
        <w:gridCol w:w="1134"/>
        <w:gridCol w:w="1134"/>
      </w:tblGrid>
      <w:tr>
        <w:trPr>
          <w:tblHeader/>
        </w:trPr>
        <w:tc>
          <w:tcPr>
            <w:shd w:val="clear" w:color="8c8c8c" w:fill="8c8c8c"/>
            <w:tcW w:w="454" w:type="dxa"/>
            <w:textDirection w:val="lrTb"/>
            <w:noWrap w:val="false"/>
          </w:tcPr>
          <w:p>
            <w:pPr>
              <w:pStyle w:val="814"/>
            </w:pPr>
            <w:r/>
            <w:r>
              <w:t xml:space="preserve">№</w:t>
            </w:r>
            <w:r/>
          </w:p>
        </w:tc>
        <w:tc>
          <w:tcPr>
            <w:shd w:val="clear" w:color="8c8c8c" w:fill="8c8c8c"/>
            <w:tcW w:w="1750" w:type="pct"/>
            <w:textDirection w:val="lrTb"/>
            <w:noWrap w:val="false"/>
          </w:tcPr>
          <w:p>
            <w:pPr>
              <w:pStyle w:val="814"/>
            </w:pPr>
            <w:r/>
            <w:r>
              <w:t xml:space="preserve">Статья затрат</w:t>
            </w:r>
            <w:r/>
          </w:p>
        </w:tc>
        <w:tc>
          <w:tcPr>
            <w:shd w:val="clear" w:color="8c8c8c" w:fill="8c8c8c"/>
            <w:textDirection w:val="lrTb"/>
            <w:noWrap w:val="false"/>
          </w:tcPr>
          <w:p>
            <w:pPr>
              <w:pStyle w:val="814"/>
            </w:pPr>
            <w:r/>
            <w:r>
              <w:t xml:space="preserve">2026</w:t>
            </w:r>
            <w:r/>
          </w:p>
        </w:tc>
        <w:tc>
          <w:tcPr>
            <w:shd w:val="clear" w:color="8c8c8c" w:fill="8c8c8c"/>
            <w:tcW w:w="1191" w:type="dxa"/>
            <w:textDirection w:val="lrTb"/>
            <w:noWrap w:val="false"/>
          </w:tcPr>
          <w:p>
            <w:pPr>
              <w:pStyle w:val="814"/>
            </w:pPr>
            <w:r/>
            <w:r>
              <w:t xml:space="preserve">Итого без НДС</w:t>
            </w:r>
            <w:r/>
          </w:p>
        </w:tc>
      </w:tr>
      <w:tr>
        <w:trPr/>
        <w:tc>
          <w:tcPr>
            <w:gridSpan w:val="4"/>
            <w:tcMar>
              <w:left w:w="85" w:type="dxa"/>
              <w:top w:w="57" w:type="dxa"/>
              <w:bottom w:w="57" w:type="dxa"/>
            </w:tcMar>
            <w:tcW w:w="454" w:type="dxa"/>
            <w:vMerge w:val="restart"/>
            <w:textDirection w:val="lrTb"/>
            <w:noWrap w:val="false"/>
          </w:tcPr>
          <w:p>
            <w:pPr>
              <w:pStyle w:val="816"/>
            </w:pPr>
            <w:r/>
            <w:r>
              <w:t xml:space="preserve">1. Затраты, относящиеся на инвестиционную деятельность</w:t>
            </w:r>
            <w:r/>
          </w:p>
        </w:tc>
      </w:tr>
      <w:tr>
        <w:trPr/>
        <w:tc>
          <w:tcPr>
            <w:tcW w:w="454" w:type="dxa"/>
            <w:vMerge w:val="restart"/>
            <w:textDirection w:val="lrTb"/>
            <w:noWrap w:val="false"/>
          </w:tcPr>
          <w:p>
            <w:pPr>
              <w:pStyle w:val="816"/>
            </w:pPr>
            <w:r/>
            <w:r>
              <w:t xml:space="preserve">1.1.</w:t>
            </w:r>
            <w:r/>
          </w:p>
        </w:tc>
        <w:tc>
          <w:tcPr>
            <w:tcW w:w="1750" w:type="pct"/>
            <w:vMerge w:val="restart"/>
            <w:textDirection w:val="lrTb"/>
            <w:noWrap w:val="false"/>
          </w:tcPr>
          <w:p>
            <w:pPr>
              <w:pStyle w:val="816"/>
            </w:pPr>
            <w:r/>
            <w:r>
              <w:t xml:space="preserve">Прочие</w:t>
            </w:r>
            <w:r/>
          </w:p>
        </w:tc>
        <w:tc>
          <w:tcPr>
            <w:vMerge w:val="restart"/>
            <w:textDirection w:val="lrTb"/>
            <w:noWrap/>
          </w:tcPr>
          <w:p>
            <w:pPr>
              <w:pStyle w:val="815"/>
            </w:pPr>
            <w:r/>
            <w:r>
              <w:t xml:space="preserve">7 313</w:t>
            </w:r>
            <w:r/>
          </w:p>
        </w:tc>
        <w:tc>
          <w:tcPr>
            <w:tcW w:w="1191" w:type="dxa"/>
            <w:vMerge w:val="restart"/>
            <w:textDirection w:val="lrTb"/>
            <w:noWrap/>
          </w:tcPr>
          <w:p>
            <w:pPr>
              <w:pStyle w:val="815"/>
            </w:pPr>
            <w:r/>
            <w:r>
              <w:t xml:space="preserve">7 313</w:t>
            </w:r>
            <w:r/>
          </w:p>
        </w:tc>
      </w:tr>
      <w:tr>
        <w:trPr/>
        <w:tc>
          <w:tcPr>
            <w:gridSpan w:val="2"/>
            <w:shd w:val="clear" w:color="afafaf" w:fill="afafaf"/>
            <w:tcMar>
              <w:left w:w="85" w:type="dxa"/>
              <w:top w:w="91" w:type="dxa"/>
              <w:right w:w="91" w:type="dxa"/>
              <w:bottom w:w="91" w:type="dxa"/>
            </w:tcMar>
            <w:tcW w:w="454" w:type="dxa"/>
            <w:vMerge w:val="restart"/>
            <w:textDirection w:val="lrTb"/>
            <w:noWrap w:val="false"/>
          </w:tcPr>
          <w:p>
            <w:pPr>
              <w:pStyle w:val="816"/>
              <w:jc w:val="right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  <w:t xml:space="preserve">ИТОГО:</w:t>
            </w:r>
            <w:r>
              <w:rPr>
                <w:b/>
                <w:bCs/>
              </w:rPr>
            </w:r>
          </w:p>
        </w:tc>
        <w:tc>
          <w:tcPr>
            <w:shd w:val="clear" w:color="afafaf" w:fill="afafaf"/>
            <w:vMerge w:val="restart"/>
            <w:textDirection w:val="lrTb"/>
            <w:noWrap/>
          </w:tcPr>
          <w:p>
            <w:pPr>
              <w:pStyle w:val="815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  <w:t xml:space="preserve">7 313</w:t>
            </w:r>
            <w:r>
              <w:rPr>
                <w:b/>
                <w:bCs/>
              </w:rPr>
            </w:r>
          </w:p>
        </w:tc>
        <w:tc>
          <w:tcPr>
            <w:shd w:val="clear" w:color="afafaf" w:fill="afafaf"/>
            <w:tcW w:w="1191" w:type="dxa"/>
            <w:vMerge w:val="restart"/>
            <w:textDirection w:val="lrTb"/>
            <w:noWrap/>
          </w:tcPr>
          <w:p>
            <w:pPr>
              <w:pStyle w:val="815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  <w:t xml:space="preserve">7 313</w:t>
            </w:r>
            <w:r>
              <w:rPr>
                <w:b/>
                <w:bCs/>
              </w:rPr>
            </w:r>
          </w:p>
        </w:tc>
      </w:tr>
      <w:tr>
        <w:trPr/>
        <w:tc>
          <w:tcPr>
            <w:gridSpan w:val="4"/>
            <w:tcMar>
              <w:left w:w="85" w:type="dxa"/>
              <w:top w:w="57" w:type="dxa"/>
              <w:bottom w:w="57" w:type="dxa"/>
            </w:tcMar>
            <w:tcW w:w="454" w:type="dxa"/>
            <w:vMerge w:val="restart"/>
            <w:textDirection w:val="lrTb"/>
            <w:noWrap w:val="false"/>
          </w:tcPr>
          <w:p>
            <w:pPr>
              <w:pStyle w:val="816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t xml:space="preserve">2. Затраты, относящиеся на операционную деятельность</w:t>
            </w:r>
            <w:r>
              <w:rPr>
                <w:b/>
                <w:bCs/>
              </w:rPr>
            </w:r>
          </w:p>
        </w:tc>
      </w:tr>
      <w:tr>
        <w:trPr/>
        <w:tc>
          <w:tcPr>
            <w:tcW w:w="454" w:type="dxa"/>
            <w:vMerge w:val="restart"/>
            <w:textDirection w:val="lrTb"/>
            <w:noWrap w:val="false"/>
          </w:tcPr>
          <w:p>
            <w:pPr>
              <w:pStyle w:val="816"/>
            </w:pPr>
            <w:r/>
            <w:r>
              <w:t xml:space="preserve">2.1.</w:t>
            </w:r>
            <w:r/>
          </w:p>
        </w:tc>
        <w:tc>
          <w:tcPr>
            <w:tcW w:w="1750" w:type="pct"/>
            <w:vMerge w:val="restart"/>
            <w:textDirection w:val="lrTb"/>
            <w:noWrap w:val="false"/>
          </w:tcPr>
          <w:p>
            <w:pPr>
              <w:pStyle w:val="816"/>
            </w:pPr>
            <w:r/>
            <w:r>
              <w:t xml:space="preserve">Прочие</w:t>
            </w:r>
            <w:r/>
          </w:p>
        </w:tc>
        <w:tc>
          <w:tcPr>
            <w:vMerge w:val="restart"/>
            <w:textDirection w:val="lrTb"/>
            <w:noWrap/>
          </w:tcPr>
          <w:p>
            <w:pPr>
              <w:pStyle w:val="815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t xml:space="preserve">6 880</w:t>
            </w:r>
            <w:r>
              <w:rPr>
                <w:b/>
                <w:bCs/>
              </w:rPr>
            </w:r>
          </w:p>
        </w:tc>
        <w:tc>
          <w:tcPr>
            <w:tcW w:w="1191" w:type="dxa"/>
            <w:vMerge w:val="restart"/>
            <w:textDirection w:val="lrTb"/>
            <w:noWrap/>
          </w:tcPr>
          <w:p>
            <w:pPr>
              <w:pStyle w:val="815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t xml:space="preserve">6 880</w:t>
            </w:r>
            <w:r>
              <w:rPr>
                <w:b/>
                <w:bCs/>
              </w:rPr>
            </w:r>
          </w:p>
        </w:tc>
      </w:tr>
      <w:tr>
        <w:trPr/>
        <w:tc>
          <w:tcPr>
            <w:gridSpan w:val="2"/>
            <w:shd w:val="clear" w:color="afafaf" w:fill="afafaf"/>
            <w:tcMar>
              <w:left w:w="85" w:type="dxa"/>
              <w:top w:w="91" w:type="dxa"/>
              <w:right w:w="91" w:type="dxa"/>
              <w:bottom w:w="91" w:type="dxa"/>
            </w:tcMar>
            <w:tcW w:w="454" w:type="dxa"/>
            <w:vMerge w:val="restart"/>
            <w:textDirection w:val="lrTb"/>
            <w:noWrap w:val="false"/>
          </w:tcPr>
          <w:p>
            <w:pPr>
              <w:pStyle w:val="816"/>
              <w:jc w:val="right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  <w:t xml:space="preserve">ИТОГО:</w:t>
            </w:r>
            <w:r>
              <w:rPr>
                <w:b/>
                <w:bCs/>
              </w:rPr>
            </w:r>
          </w:p>
        </w:tc>
        <w:tc>
          <w:tcPr>
            <w:shd w:val="clear" w:color="afafaf" w:fill="afafaf"/>
            <w:vMerge w:val="restart"/>
            <w:textDirection w:val="lrTb"/>
            <w:noWrap/>
          </w:tcPr>
          <w:p>
            <w:pPr>
              <w:pStyle w:val="815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  <w:t xml:space="preserve">6 880</w:t>
            </w:r>
            <w:r>
              <w:rPr>
                <w:b/>
                <w:bCs/>
              </w:rPr>
            </w:r>
          </w:p>
        </w:tc>
        <w:tc>
          <w:tcPr>
            <w:shd w:val="clear" w:color="afafaf" w:fill="afafaf"/>
            <w:tcW w:w="1191" w:type="dxa"/>
            <w:vMerge w:val="restart"/>
            <w:textDirection w:val="lrTb"/>
            <w:noWrap/>
          </w:tcPr>
          <w:p>
            <w:pPr>
              <w:pStyle w:val="815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  <w:t xml:space="preserve">6 880</w:t>
            </w:r>
            <w:r>
              <w:rPr>
                <w:b/>
                <w:bCs/>
              </w:rPr>
            </w:r>
          </w:p>
        </w:tc>
      </w:tr>
      <w:tr>
        <w:trPr/>
        <w:tc>
          <w:tcPr>
            <w:gridSpan w:val="2"/>
            <w:shd w:val="clear" w:color="8c8c8c" w:fill="8c8c8c"/>
            <w:tcMar>
              <w:left w:w="85" w:type="dxa"/>
              <w:top w:w="91" w:type="dxa"/>
              <w:right w:w="91" w:type="dxa"/>
              <w:bottom w:w="91" w:type="dxa"/>
            </w:tcMar>
            <w:tcW w:w="454" w:type="dxa"/>
            <w:vMerge w:val="restart"/>
            <w:textDirection w:val="lrTb"/>
            <w:noWrap w:val="false"/>
          </w:tcPr>
          <w:p>
            <w:pPr>
              <w:pStyle w:val="816"/>
              <w:jc w:val="right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  <w:t xml:space="preserve">ИТОГО ПО ПРОЕКТУ:</w:t>
            </w:r>
            <w:r>
              <w:rPr>
                <w:b/>
                <w:bCs/>
              </w:rPr>
            </w:r>
          </w:p>
        </w:tc>
        <w:tc>
          <w:tcPr>
            <w:shd w:val="clear" w:color="8c8c8c" w:fill="8c8c8c"/>
            <w:vMerge w:val="restart"/>
            <w:textDirection w:val="lrTb"/>
            <w:noWrap/>
          </w:tcPr>
          <w:p>
            <w:pPr>
              <w:pStyle w:val="815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  <w:t xml:space="preserve">14 193</w:t>
            </w:r>
            <w:r>
              <w:rPr>
                <w:b/>
                <w:bCs/>
              </w:rPr>
            </w:r>
          </w:p>
        </w:tc>
        <w:tc>
          <w:tcPr>
            <w:shd w:val="clear" w:color="8c8c8c" w:fill="8c8c8c"/>
            <w:tcW w:w="1191" w:type="dxa"/>
            <w:vMerge w:val="restart"/>
            <w:textDirection w:val="lrTb"/>
            <w:noWrap/>
          </w:tcPr>
          <w:p>
            <w:pPr>
              <w:pStyle w:val="815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  <w:t xml:space="preserve">14 193</w:t>
            </w:r>
            <w:r>
              <w:rPr>
                <w:b/>
                <w:bCs/>
              </w:rPr>
            </w:r>
          </w:p>
        </w:tc>
      </w:tr>
    </w:tbl>
    <w:p>
      <w:r/>
    </w:p>
    <w:p>
      <w:pPr>
        <w:pStyle w:val="632"/>
        <w:ind w:firstLine="0"/>
        <w:jc w:val="right"/>
        <w:spacing w:before="283" w:after="57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Таблица 2.</w:t>
      </w:r>
      <w:r>
        <w:rPr>
          <w:b/>
          <w:bCs/>
          <w:sz w:val="22"/>
          <w:szCs w:val="22"/>
        </w:rPr>
      </w:r>
    </w:p>
    <w:p>
      <w:pPr>
        <w:pStyle w:val="632"/>
        <w:ind w:firstLine="0"/>
        <w:jc w:val="right"/>
        <w:spacing w:before="0" w:after="57"/>
        <w:rPr>
          <w:sz w:val="22"/>
          <w:szCs w:val="22"/>
        </w:rPr>
      </w:pPr>
      <w:r>
        <w:rPr>
          <w:sz w:val="22"/>
          <w:szCs w:val="22"/>
        </w:rPr>
        <w:t xml:space="preserve">Финансирование: тыс. единиц национальной валюты с НДС</w:t>
      </w:r>
      <w:r>
        <w:rPr>
          <w:sz w:val="22"/>
          <w:szCs w:val="22"/>
        </w:rPr>
      </w:r>
    </w:p>
    <w:tbl>
      <w:tblPr>
        <w:tblStyle w:val="813"/>
        <w:tblW w:w="5000" w:type="pct"/>
        <w:jc w:val="center"/>
        <w:tblInd w:w="-567" w:type="dxa"/>
        <w:tblLook w:val="04A0" w:firstRow="1" w:lastRow="0" w:firstColumn="1" w:lastColumn="0" w:noHBand="0" w:noVBand="1"/>
      </w:tblPr>
      <w:tblGrid>
        <w:gridCol w:w="1134"/>
        <w:gridCol w:w="1134"/>
        <w:gridCol w:w="1134"/>
        <w:gridCol w:w="1134"/>
      </w:tblGrid>
      <w:tr>
        <w:trPr>
          <w:tblHeader/>
        </w:trPr>
        <w:tc>
          <w:tcPr>
            <w:shd w:val="clear" w:color="8c8c8c" w:fill="8c8c8c"/>
            <w:tcW w:w="454" w:type="dxa"/>
            <w:textDirection w:val="lrTb"/>
            <w:noWrap w:val="false"/>
          </w:tcPr>
          <w:p>
            <w:pPr>
              <w:pStyle w:val="814"/>
            </w:pPr>
            <w:r/>
            <w:r>
              <w:t xml:space="preserve">№</w:t>
            </w:r>
            <w:r/>
          </w:p>
        </w:tc>
        <w:tc>
          <w:tcPr>
            <w:shd w:val="clear" w:color="8c8c8c" w:fill="8c8c8c"/>
            <w:tcW w:w="1750" w:type="pct"/>
            <w:textDirection w:val="lrTb"/>
            <w:noWrap w:val="false"/>
          </w:tcPr>
          <w:p>
            <w:pPr>
              <w:pStyle w:val="814"/>
            </w:pPr>
            <w:r/>
            <w:r>
              <w:t xml:space="preserve">Статья затрат</w:t>
            </w:r>
            <w:r/>
          </w:p>
        </w:tc>
        <w:tc>
          <w:tcPr>
            <w:shd w:val="clear" w:color="8c8c8c" w:fill="8c8c8c"/>
            <w:textDirection w:val="lrTb"/>
            <w:noWrap w:val="false"/>
          </w:tcPr>
          <w:p>
            <w:pPr>
              <w:pStyle w:val="814"/>
            </w:pPr>
            <w:r/>
            <w:r>
              <w:t xml:space="preserve">2026</w:t>
            </w:r>
            <w:r/>
          </w:p>
        </w:tc>
        <w:tc>
          <w:tcPr>
            <w:shd w:val="clear" w:color="8c8c8c" w:fill="8c8c8c"/>
            <w:tcW w:w="1191" w:type="dxa"/>
            <w:textDirection w:val="lrTb"/>
            <w:noWrap w:val="false"/>
          </w:tcPr>
          <w:p>
            <w:pPr>
              <w:pStyle w:val="814"/>
            </w:pPr>
            <w:r/>
            <w:r>
              <w:t xml:space="preserve">Итого с НДС</w:t>
            </w:r>
            <w:r/>
          </w:p>
        </w:tc>
      </w:tr>
      <w:tr>
        <w:trPr/>
        <w:tc>
          <w:tcPr>
            <w:gridSpan w:val="4"/>
            <w:tcMar>
              <w:left w:w="85" w:type="dxa"/>
              <w:top w:w="57" w:type="dxa"/>
              <w:bottom w:w="57" w:type="dxa"/>
            </w:tcMar>
            <w:tcW w:w="454" w:type="dxa"/>
            <w:vMerge w:val="restart"/>
            <w:textDirection w:val="lrTb"/>
            <w:noWrap w:val="false"/>
          </w:tcPr>
          <w:p>
            <w:pPr>
              <w:pStyle w:val="816"/>
            </w:pPr>
            <w:r/>
            <w:r>
              <w:t xml:space="preserve">1. Затраты, относящиеся на инвестиционную деятельность</w:t>
            </w:r>
            <w:r/>
          </w:p>
        </w:tc>
      </w:tr>
      <w:tr>
        <w:trPr/>
        <w:tc>
          <w:tcPr>
            <w:tcW w:w="454" w:type="dxa"/>
            <w:vMerge w:val="restart"/>
            <w:textDirection w:val="lrTb"/>
            <w:noWrap w:val="false"/>
          </w:tcPr>
          <w:p>
            <w:pPr>
              <w:pStyle w:val="816"/>
            </w:pPr>
            <w:r/>
            <w:r>
              <w:t xml:space="preserve">1.1.</w:t>
            </w:r>
            <w:r/>
          </w:p>
        </w:tc>
        <w:tc>
          <w:tcPr>
            <w:tcW w:w="1750" w:type="pct"/>
            <w:vMerge w:val="restart"/>
            <w:textDirection w:val="lrTb"/>
            <w:noWrap w:val="false"/>
          </w:tcPr>
          <w:p>
            <w:pPr>
              <w:pStyle w:val="816"/>
            </w:pPr>
            <w:r/>
            <w:r>
              <w:t xml:space="preserve">Прочие</w:t>
            </w:r>
            <w:r/>
          </w:p>
        </w:tc>
        <w:tc>
          <w:tcPr>
            <w:vMerge w:val="restart"/>
            <w:textDirection w:val="lrTb"/>
            <w:noWrap/>
          </w:tcPr>
          <w:p>
            <w:pPr>
              <w:pStyle w:val="815"/>
            </w:pPr>
            <w:r/>
            <w:r>
              <w:t xml:space="preserve">8 921</w:t>
            </w:r>
            <w:r/>
          </w:p>
        </w:tc>
        <w:tc>
          <w:tcPr>
            <w:tcW w:w="1191" w:type="dxa"/>
            <w:vMerge w:val="restart"/>
            <w:textDirection w:val="lrTb"/>
            <w:noWrap/>
          </w:tcPr>
          <w:p>
            <w:pPr>
              <w:pStyle w:val="815"/>
            </w:pPr>
            <w:r/>
            <w:r>
              <w:t xml:space="preserve">8 921</w:t>
            </w:r>
            <w:r/>
          </w:p>
        </w:tc>
      </w:tr>
      <w:tr>
        <w:trPr/>
        <w:tc>
          <w:tcPr>
            <w:gridSpan w:val="2"/>
            <w:shd w:val="clear" w:color="afafaf" w:fill="afafaf"/>
            <w:tcMar>
              <w:left w:w="85" w:type="dxa"/>
              <w:top w:w="91" w:type="dxa"/>
              <w:right w:w="91" w:type="dxa"/>
              <w:bottom w:w="91" w:type="dxa"/>
            </w:tcMar>
            <w:tcW w:w="454" w:type="dxa"/>
            <w:vMerge w:val="restart"/>
            <w:textDirection w:val="lrTb"/>
            <w:noWrap w:val="false"/>
          </w:tcPr>
          <w:p>
            <w:pPr>
              <w:pStyle w:val="816"/>
              <w:jc w:val="right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  <w:t xml:space="preserve">ИТОГО:</w:t>
            </w:r>
            <w:r>
              <w:rPr>
                <w:b/>
                <w:bCs/>
              </w:rPr>
            </w:r>
          </w:p>
        </w:tc>
        <w:tc>
          <w:tcPr>
            <w:shd w:val="clear" w:color="afafaf" w:fill="afafaf"/>
            <w:vMerge w:val="restart"/>
            <w:textDirection w:val="lrTb"/>
            <w:noWrap/>
          </w:tcPr>
          <w:p>
            <w:pPr>
              <w:pStyle w:val="815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  <w:t xml:space="preserve">8 921</w:t>
            </w:r>
            <w:r>
              <w:rPr>
                <w:b/>
                <w:bCs/>
              </w:rPr>
            </w:r>
          </w:p>
        </w:tc>
        <w:tc>
          <w:tcPr>
            <w:shd w:val="clear" w:color="afafaf" w:fill="afafaf"/>
            <w:tcW w:w="1191" w:type="dxa"/>
            <w:vMerge w:val="restart"/>
            <w:textDirection w:val="lrTb"/>
            <w:noWrap/>
          </w:tcPr>
          <w:p>
            <w:pPr>
              <w:pStyle w:val="815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  <w:t xml:space="preserve">8 921</w:t>
            </w:r>
            <w:r>
              <w:rPr>
                <w:b/>
                <w:bCs/>
              </w:rPr>
            </w:r>
          </w:p>
        </w:tc>
      </w:tr>
      <w:tr>
        <w:trPr/>
        <w:tc>
          <w:tcPr>
            <w:gridSpan w:val="4"/>
            <w:tcMar>
              <w:left w:w="85" w:type="dxa"/>
              <w:top w:w="57" w:type="dxa"/>
              <w:bottom w:w="57" w:type="dxa"/>
            </w:tcMar>
            <w:tcW w:w="454" w:type="dxa"/>
            <w:vMerge w:val="restart"/>
            <w:textDirection w:val="lrTb"/>
            <w:noWrap w:val="false"/>
          </w:tcPr>
          <w:p>
            <w:pPr>
              <w:pStyle w:val="816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t xml:space="preserve">2. Затраты, относящиеся на операционную деятельность</w:t>
            </w:r>
            <w:r>
              <w:rPr>
                <w:b/>
                <w:bCs/>
              </w:rPr>
            </w:r>
          </w:p>
        </w:tc>
      </w:tr>
      <w:tr>
        <w:trPr/>
        <w:tc>
          <w:tcPr>
            <w:tcW w:w="454" w:type="dxa"/>
            <w:vMerge w:val="restart"/>
            <w:textDirection w:val="lrTb"/>
            <w:noWrap w:val="false"/>
          </w:tcPr>
          <w:p>
            <w:pPr>
              <w:pStyle w:val="816"/>
            </w:pPr>
            <w:r/>
            <w:r>
              <w:t xml:space="preserve">2.1.</w:t>
            </w:r>
            <w:r/>
          </w:p>
        </w:tc>
        <w:tc>
          <w:tcPr>
            <w:tcW w:w="1750" w:type="pct"/>
            <w:vMerge w:val="restart"/>
            <w:textDirection w:val="lrTb"/>
            <w:noWrap w:val="false"/>
          </w:tcPr>
          <w:p>
            <w:pPr>
              <w:pStyle w:val="816"/>
            </w:pPr>
            <w:r/>
            <w:r>
              <w:t xml:space="preserve">Прочие</w:t>
            </w:r>
            <w:r/>
          </w:p>
        </w:tc>
        <w:tc>
          <w:tcPr>
            <w:vMerge w:val="restart"/>
            <w:textDirection w:val="lrTb"/>
            <w:noWrap/>
          </w:tcPr>
          <w:p>
            <w:pPr>
              <w:pStyle w:val="815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t xml:space="preserve">8 256</w:t>
            </w:r>
            <w:r>
              <w:rPr>
                <w:b/>
                <w:bCs/>
              </w:rPr>
            </w:r>
          </w:p>
        </w:tc>
        <w:tc>
          <w:tcPr>
            <w:tcW w:w="1191" w:type="dxa"/>
            <w:vMerge w:val="restart"/>
            <w:textDirection w:val="lrTb"/>
            <w:noWrap/>
          </w:tcPr>
          <w:p>
            <w:pPr>
              <w:pStyle w:val="815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t xml:space="preserve">8 256</w:t>
            </w:r>
            <w:r>
              <w:rPr>
                <w:b/>
                <w:bCs/>
              </w:rPr>
            </w:r>
          </w:p>
        </w:tc>
      </w:tr>
      <w:tr>
        <w:trPr/>
        <w:tc>
          <w:tcPr>
            <w:gridSpan w:val="2"/>
            <w:shd w:val="clear" w:color="afafaf" w:fill="afafaf"/>
            <w:tcMar>
              <w:left w:w="85" w:type="dxa"/>
              <w:top w:w="91" w:type="dxa"/>
              <w:right w:w="91" w:type="dxa"/>
              <w:bottom w:w="91" w:type="dxa"/>
            </w:tcMar>
            <w:tcW w:w="454" w:type="dxa"/>
            <w:vMerge w:val="restart"/>
            <w:textDirection w:val="lrTb"/>
            <w:noWrap w:val="false"/>
          </w:tcPr>
          <w:p>
            <w:pPr>
              <w:pStyle w:val="816"/>
              <w:jc w:val="right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  <w:t xml:space="preserve">ИТОГО:</w:t>
            </w:r>
            <w:r>
              <w:rPr>
                <w:b/>
                <w:bCs/>
              </w:rPr>
            </w:r>
          </w:p>
        </w:tc>
        <w:tc>
          <w:tcPr>
            <w:shd w:val="clear" w:color="afafaf" w:fill="afafaf"/>
            <w:vMerge w:val="restart"/>
            <w:textDirection w:val="lrTb"/>
            <w:noWrap/>
          </w:tcPr>
          <w:p>
            <w:pPr>
              <w:pStyle w:val="815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  <w:t xml:space="preserve">8 256</w:t>
            </w:r>
            <w:r>
              <w:rPr>
                <w:b/>
                <w:bCs/>
              </w:rPr>
            </w:r>
          </w:p>
        </w:tc>
        <w:tc>
          <w:tcPr>
            <w:shd w:val="clear" w:color="afafaf" w:fill="afafaf"/>
            <w:tcW w:w="1191" w:type="dxa"/>
            <w:vMerge w:val="restart"/>
            <w:textDirection w:val="lrTb"/>
            <w:noWrap/>
          </w:tcPr>
          <w:p>
            <w:pPr>
              <w:pStyle w:val="815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  <w:t xml:space="preserve">8 256</w:t>
            </w:r>
            <w:r>
              <w:rPr>
                <w:b/>
                <w:bCs/>
              </w:rPr>
            </w:r>
          </w:p>
        </w:tc>
      </w:tr>
      <w:tr>
        <w:trPr/>
        <w:tc>
          <w:tcPr>
            <w:gridSpan w:val="2"/>
            <w:shd w:val="clear" w:color="8c8c8c" w:fill="8c8c8c"/>
            <w:tcMar>
              <w:left w:w="85" w:type="dxa"/>
              <w:top w:w="91" w:type="dxa"/>
              <w:right w:w="91" w:type="dxa"/>
              <w:bottom w:w="91" w:type="dxa"/>
            </w:tcMar>
            <w:tcW w:w="454" w:type="dxa"/>
            <w:vMerge w:val="restart"/>
            <w:textDirection w:val="lrTb"/>
            <w:noWrap w:val="false"/>
          </w:tcPr>
          <w:p>
            <w:pPr>
              <w:pStyle w:val="816"/>
              <w:jc w:val="right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  <w:t xml:space="preserve">ИТОГО ПО ПРОЕКТУ:</w:t>
            </w:r>
            <w:r>
              <w:rPr>
                <w:b/>
                <w:bCs/>
              </w:rPr>
            </w:r>
          </w:p>
        </w:tc>
        <w:tc>
          <w:tcPr>
            <w:shd w:val="clear" w:color="8c8c8c" w:fill="8c8c8c"/>
            <w:vMerge w:val="restart"/>
            <w:textDirection w:val="lrTb"/>
            <w:noWrap/>
          </w:tcPr>
          <w:p>
            <w:pPr>
              <w:pStyle w:val="815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  <w:t xml:space="preserve">17 178</w:t>
            </w:r>
            <w:r>
              <w:rPr>
                <w:b/>
                <w:bCs/>
              </w:rPr>
            </w:r>
          </w:p>
        </w:tc>
        <w:tc>
          <w:tcPr>
            <w:shd w:val="clear" w:color="8c8c8c" w:fill="8c8c8c"/>
            <w:tcW w:w="1191" w:type="dxa"/>
            <w:vMerge w:val="restart"/>
            <w:textDirection w:val="lrTb"/>
            <w:noWrap/>
          </w:tcPr>
          <w:p>
            <w:pPr>
              <w:pStyle w:val="815"/>
              <w:rPr>
                <w:b/>
                <w:bCs/>
              </w:rPr>
            </w:pPr>
            <w:r>
              <w:rPr>
                <w:b/>
                <w:bCs/>
              </w:rPr>
            </w:r>
            <w:r>
              <w:rPr>
                <w:b/>
                <w:bCs/>
              </w:rPr>
              <w:t xml:space="preserve">17 178</w:t>
            </w:r>
            <w:r>
              <w:rPr>
                <w:b/>
                <w:bCs/>
              </w:rPr>
            </w:r>
          </w:p>
        </w:tc>
      </w:tr>
    </w:tbl>
    <w:p>
      <w:r/>
    </w:p>
    <w:p>
      <w:pPr>
        <w:pStyle w:val="632"/>
        <w:ind w:firstLine="0"/>
        <w:jc w:val="right"/>
        <w:spacing w:before="283" w:after="57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Таблица 3.</w:t>
      </w:r>
      <w:r>
        <w:rPr>
          <w:b/>
          <w:bCs/>
          <w:sz w:val="22"/>
          <w:szCs w:val="22"/>
        </w:rPr>
      </w:r>
    </w:p>
    <w:p>
      <w:pPr>
        <w:pStyle w:val="632"/>
        <w:ind w:firstLine="0"/>
        <w:jc w:val="right"/>
        <w:spacing w:before="0" w:after="57"/>
        <w:rPr>
          <w:sz w:val="22"/>
          <w:szCs w:val="22"/>
        </w:rPr>
      </w:pPr>
      <w:r>
        <w:rPr>
          <w:sz w:val="22"/>
          <w:szCs w:val="22"/>
        </w:rPr>
        <w:t xml:space="preserve">Ключевые контрольные точки</w:t>
      </w:r>
      <w:r>
        <w:rPr>
          <w:sz w:val="22"/>
          <w:szCs w:val="22"/>
        </w:rPr>
      </w:r>
    </w:p>
    <w:tbl>
      <w:tblPr>
        <w:tblStyle w:val="813"/>
        <w:tblW w:w="5000" w:type="pct"/>
        <w:jc w:val="center"/>
        <w:tblInd w:w="-567" w:type="dxa"/>
        <w:tblLook w:val="04A0" w:firstRow="1" w:lastRow="0" w:firstColumn="1" w:lastColumn="0" w:noHBand="0" w:noVBand="1"/>
      </w:tblPr>
      <w:tblGrid>
        <w:gridCol w:w="1134"/>
        <w:gridCol w:w="1134"/>
        <w:gridCol w:w="1134"/>
      </w:tblGrid>
      <w:tr>
        <w:trPr/>
        <w:tc>
          <w:tcPr>
            <w:gridSpan w:val="3"/>
            <w:textDirection w:val="lrTb"/>
            <w:noWrap w:val="false"/>
          </w:tcPr>
          <w:p>
            <w:pPr>
              <w:pStyle w:val="814"/>
            </w:pPr>
            <w:r/>
            <w:r>
              <w:t xml:space="preserve">КЛЮЧЕВЫЕ КОНТРОЛЬНЫЕ ТОЧКИ</w:t>
            </w:r>
            <w:r/>
          </w:p>
        </w:tc>
      </w:tr>
      <w:tr>
        <w:trPr/>
        <w:tc>
          <w:tcPr>
            <w:textDirection w:val="lrTb"/>
            <w:noWrap w:val="false"/>
          </w:tcPr>
          <w:p>
            <w:pPr>
              <w:pStyle w:val="814"/>
            </w:pPr>
            <w:r/>
            <w:r>
              <w:t xml:space="preserve">Название контрольной точки</w:t>
            </w:r>
            <w:r/>
          </w:p>
        </w:tc>
        <w:tc>
          <w:tcPr>
            <w:textDirection w:val="lrTb"/>
            <w:noWrap w:val="false"/>
          </w:tcPr>
          <w:p>
            <w:pPr>
              <w:pStyle w:val="814"/>
            </w:pPr>
            <w:r/>
            <w:r>
              <w:t xml:space="preserve">Ответственный</w:t>
            </w:r>
            <w:r/>
          </w:p>
        </w:tc>
        <w:tc>
          <w:tcPr>
            <w:textDirection w:val="lrTb"/>
            <w:noWrap w:val="false"/>
          </w:tcPr>
          <w:p>
            <w:pPr>
              <w:pStyle w:val="814"/>
            </w:pPr>
            <w:r/>
            <w:r>
              <w:t xml:space="preserve">Плановая дата</w:t>
            </w:r>
            <w:r/>
          </w:p>
        </w:tc>
      </w:tr>
    </w:tbl>
    <w:p>
      <w:r/>
    </w:p>
    <w:p>
      <w:pPr>
        <w:pStyle w:val="12"/>
        <w:numPr>
          <w:ilvl w:val="0"/>
          <w:numId w:val="1"/>
        </w:numPr>
      </w:pPr>
      <w:r>
        <w:t xml:space="preserve">КОНТАКТНОЕ ЛИЦО</w:t>
      </w:r>
      <w:r/>
    </w:p>
    <w:p>
      <w:pPr>
        <w:pStyle w:val="632"/>
        <w:spacing w:before="283" w:after="113"/>
      </w:pPr>
      <w:r>
        <w:t xml:space="preserve">Руководитель направления по развитию стратегии и взаимодействию с контролирующими органами Петербургская сбытовая компания Дедов Александр Всеволодович</w:t>
      </w:r>
      <w:r/>
    </w:p>
    <w:sectPr>
      <w:footerReference w:type="default" r:id="rId9"/>
      <w:footnotePr/>
      <w:endnotePr/>
      <w:type w:val="nextPage"/>
      <w:pgSz w:w="11906" w:h="16838" w:orient="portrait"/>
      <w:pgMar w:top="1134" w:right="850" w:bottom="1134" w:left="1134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</w:font>
  <w:font w:name="liberation serif">
    <w:panose1 w:val="02020603050405020304"/>
  </w:font>
  <w:font w:name="Calibri">
    <w:panose1 w:val="020B0603020202020204"/>
  </w:font>
  <w:font w:name="Times New Roman">
    <w:panose1 w:val="02020603050405020304"/>
  </w:font>
  <w:font w:name="Cambria">
    <w:panose1 w:val="0206060305060502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jc w:val="right"/>
    </w:pPr>
    <w:fldSimple w:instr="PAGE \* MERGEFORMAT">
      <w:r>
        <w:t xml:space="preserve">1</w:t>
      </w:r>
    </w:fldSimple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space"/>
      <w:lvlText w:val="%1. "/>
      <w:lvlJc w:val="left"/>
      <w:pPr>
        <w:ind w:left="0" w:firstLine="0"/>
      </w:pPr>
    </w:lvl>
    <w:lvl w:ilvl="1">
      <w:start w:val="1"/>
      <w:numFmt w:val="decimal"/>
      <w:isLgl w:val="false"/>
      <w:suff w:val="space"/>
      <w:lvlText w:val="%1.%2. "/>
      <w:lvlJc w:val="left"/>
      <w:pPr>
        <w:ind w:left="0" w:firstLine="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color w:val="000000"/>
        <w:sz w:val="22"/>
        <w:szCs w:val="22"/>
        <w:lang w:val="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2">
    <w:name w:val="Heading 1"/>
    <w:basedOn w:val="598"/>
    <w:next w:val="598"/>
    <w:link w:val="13"/>
    <w:uiPriority w:val="9"/>
    <w:qFormat/>
    <w:pPr>
      <w:ind w:left="142" w:firstLine="0"/>
      <w:keepLines/>
      <w:keepNext/>
      <w:spacing w:before="567" w:after="255" w:line="240" w:lineRule="auto"/>
      <w:outlineLvl w:val="0"/>
    </w:pPr>
    <w:rPr>
      <w:rFonts w:hint="default" w:ascii="Liberation Serif" w:hAnsi="Liberation Serif" w:eastAsia="Liberation Serif" w:cs="Liberation Serif"/>
      <w:b/>
      <w:sz w:val="28"/>
      <w:szCs w:val="40"/>
    </w:rPr>
  </w:style>
  <w:style w:type="character" w:styleId="13">
    <w:name w:val="Heading 1 Char"/>
    <w:basedOn w:val="10"/>
    <w:link w:val="12"/>
    <w:uiPriority w:val="9"/>
    <w:rPr>
      <w:rFonts w:ascii="Arial" w:hAnsi="Arial" w:eastAsia="Arial" w:cs="Arial"/>
      <w:sz w:val="40"/>
      <w:szCs w:val="40"/>
    </w:rPr>
  </w:style>
  <w:style w:type="paragraph" w:styleId="14">
    <w:name w:val="Heading 2"/>
    <w:basedOn w:val="598"/>
    <w:next w:val="598"/>
    <w:link w:val="15"/>
    <w:uiPriority w:val="9"/>
    <w:unhideWhenUsed/>
    <w:qFormat/>
    <w:pPr>
      <w:ind w:left="142" w:firstLine="0"/>
      <w:keepLines/>
      <w:keepNext/>
      <w:spacing w:before="482" w:after="198" w:line="140" w:lineRule="auto"/>
      <w:outlineLvl w:val="1"/>
    </w:pPr>
    <w:rPr>
      <w:rFonts w:hint="default" w:ascii="Liberation Serif" w:hAnsi="Liberation Serif" w:eastAsia="Liberation Serif" w:cs="Liberation Serif"/>
      <w:b/>
      <w:sz w:val="24"/>
    </w:rPr>
  </w:style>
  <w:style w:type="character" w:styleId="15">
    <w:name w:val="Heading 2 Char"/>
    <w:basedOn w:val="10"/>
    <w:link w:val="14"/>
    <w:uiPriority w:val="9"/>
    <w:rPr>
      <w:rFonts w:ascii="Arial" w:hAnsi="Arial" w:eastAsia="Arial" w:cs="Arial"/>
      <w:sz w:val="34"/>
    </w:rPr>
  </w:style>
  <w:style w:type="paragraph" w:styleId="16">
    <w:name w:val="Heading 3"/>
    <w:basedOn w:val="598"/>
    <w:next w:val="598"/>
    <w:link w:val="17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7">
    <w:name w:val="Heading 3 Char"/>
    <w:basedOn w:val="10"/>
    <w:link w:val="16"/>
    <w:uiPriority w:val="9"/>
    <w:rPr>
      <w:rFonts w:ascii="Arial" w:hAnsi="Arial" w:eastAsia="Arial" w:cs="Arial"/>
      <w:sz w:val="30"/>
      <w:szCs w:val="30"/>
    </w:rPr>
  </w:style>
  <w:style w:type="paragraph" w:styleId="18">
    <w:name w:val="Heading 4"/>
    <w:basedOn w:val="598"/>
    <w:next w:val="598"/>
    <w:link w:val="19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19">
    <w:name w:val="Heading 4 Char"/>
    <w:basedOn w:val="10"/>
    <w:link w:val="18"/>
    <w:uiPriority w:val="9"/>
    <w:rPr>
      <w:rFonts w:ascii="Arial" w:hAnsi="Arial" w:eastAsia="Arial" w:cs="Arial"/>
      <w:b/>
      <w:bCs/>
      <w:sz w:val="26"/>
      <w:szCs w:val="26"/>
    </w:rPr>
  </w:style>
  <w:style w:type="paragraph" w:styleId="20">
    <w:name w:val="Heading 5"/>
    <w:basedOn w:val="598"/>
    <w:next w:val="598"/>
    <w:link w:val="21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1">
    <w:name w:val="Heading 5 Char"/>
    <w:basedOn w:val="10"/>
    <w:link w:val="20"/>
    <w:uiPriority w:val="9"/>
    <w:rPr>
      <w:rFonts w:ascii="Arial" w:hAnsi="Arial" w:eastAsia="Arial" w:cs="Arial"/>
      <w:b/>
      <w:bCs/>
      <w:sz w:val="24"/>
      <w:szCs w:val="24"/>
    </w:rPr>
  </w:style>
  <w:style w:type="paragraph" w:styleId="22">
    <w:name w:val="Heading 6"/>
    <w:basedOn w:val="598"/>
    <w:next w:val="598"/>
    <w:link w:val="23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3">
    <w:name w:val="Heading 6 Char"/>
    <w:basedOn w:val="10"/>
    <w:link w:val="22"/>
    <w:uiPriority w:val="9"/>
    <w:rPr>
      <w:rFonts w:ascii="Arial" w:hAnsi="Arial" w:eastAsia="Arial" w:cs="Arial"/>
      <w:b/>
      <w:bCs/>
      <w:sz w:val="22"/>
      <w:szCs w:val="22"/>
    </w:rPr>
  </w:style>
  <w:style w:type="paragraph" w:styleId="24">
    <w:name w:val="Heading 7"/>
    <w:basedOn w:val="598"/>
    <w:next w:val="598"/>
    <w:link w:val="25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5">
    <w:name w:val="Heading 7 Char"/>
    <w:basedOn w:val="10"/>
    <w:link w:val="2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6">
    <w:name w:val="Heading 8"/>
    <w:basedOn w:val="598"/>
    <w:next w:val="598"/>
    <w:link w:val="27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7">
    <w:name w:val="Heading 8 Char"/>
    <w:basedOn w:val="10"/>
    <w:link w:val="26"/>
    <w:uiPriority w:val="9"/>
    <w:rPr>
      <w:rFonts w:ascii="Arial" w:hAnsi="Arial" w:eastAsia="Arial" w:cs="Arial"/>
      <w:i/>
      <w:iCs/>
      <w:sz w:val="22"/>
      <w:szCs w:val="22"/>
    </w:rPr>
  </w:style>
  <w:style w:type="paragraph" w:styleId="28">
    <w:name w:val="Heading 9"/>
    <w:basedOn w:val="598"/>
    <w:next w:val="598"/>
    <w:link w:val="29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29">
    <w:name w:val="Heading 9 Char"/>
    <w:basedOn w:val="10"/>
    <w:link w:val="28"/>
    <w:uiPriority w:val="9"/>
    <w:rPr>
      <w:rFonts w:ascii="Arial" w:hAnsi="Arial" w:eastAsia="Arial" w:cs="Arial"/>
      <w:i/>
      <w:iCs/>
      <w:sz w:val="21"/>
      <w:szCs w:val="21"/>
    </w:rPr>
  </w:style>
  <w:style w:type="paragraph" w:styleId="33">
    <w:name w:val="Title"/>
    <w:basedOn w:val="598"/>
    <w:next w:val="598"/>
    <w:link w:val="34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4">
    <w:name w:val="Title Char"/>
    <w:basedOn w:val="10"/>
    <w:link w:val="33"/>
    <w:uiPriority w:val="10"/>
    <w:rPr>
      <w:sz w:val="48"/>
      <w:szCs w:val="48"/>
    </w:rPr>
  </w:style>
  <w:style w:type="paragraph" w:styleId="35">
    <w:name w:val="Subtitle"/>
    <w:basedOn w:val="598"/>
    <w:next w:val="598"/>
    <w:link w:val="36"/>
    <w:uiPriority w:val="11"/>
    <w:qFormat/>
    <w:pPr>
      <w:spacing w:before="200" w:after="200"/>
    </w:pPr>
    <w:rPr>
      <w:sz w:val="24"/>
      <w:szCs w:val="24"/>
    </w:rPr>
  </w:style>
  <w:style w:type="character" w:styleId="36">
    <w:name w:val="Subtitle Char"/>
    <w:basedOn w:val="10"/>
    <w:link w:val="35"/>
    <w:uiPriority w:val="11"/>
    <w:rPr>
      <w:sz w:val="24"/>
      <w:szCs w:val="24"/>
    </w:rPr>
  </w:style>
  <w:style w:type="paragraph" w:styleId="37">
    <w:name w:val="Quote"/>
    <w:basedOn w:val="598"/>
    <w:next w:val="598"/>
    <w:link w:val="38"/>
    <w:uiPriority w:val="29"/>
    <w:qFormat/>
    <w:pPr>
      <w:ind w:left="720" w:right="720"/>
    </w:pPr>
    <w:rPr>
      <w:i/>
    </w:rPr>
  </w:style>
  <w:style w:type="character" w:styleId="38">
    <w:name w:val="Quote Char"/>
    <w:link w:val="37"/>
    <w:uiPriority w:val="29"/>
    <w:rPr>
      <w:i/>
    </w:rPr>
  </w:style>
  <w:style w:type="paragraph" w:styleId="39">
    <w:name w:val="Intense Quote"/>
    <w:basedOn w:val="598"/>
    <w:next w:val="598"/>
    <w:link w:val="40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0">
    <w:name w:val="Intense Quote Char"/>
    <w:link w:val="39"/>
    <w:uiPriority w:val="30"/>
    <w:rPr>
      <w:i/>
    </w:rPr>
  </w:style>
  <w:style w:type="paragraph" w:styleId="41">
    <w:name w:val="Header"/>
    <w:basedOn w:val="598"/>
    <w:link w:val="42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2">
    <w:name w:val="Header Char"/>
    <w:basedOn w:val="10"/>
    <w:link w:val="41"/>
    <w:uiPriority w:val="99"/>
  </w:style>
  <w:style w:type="paragraph" w:styleId="43">
    <w:name w:val="Footer"/>
    <w:basedOn w:val="598"/>
    <w:link w:val="46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4">
    <w:name w:val="Footer Char"/>
    <w:basedOn w:val="10"/>
    <w:link w:val="43"/>
    <w:uiPriority w:val="99"/>
  </w:style>
  <w:style w:type="paragraph" w:styleId="45">
    <w:name w:val="Caption"/>
    <w:basedOn w:val="598"/>
    <w:next w:val="598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6">
    <w:name w:val="Caption Char"/>
    <w:basedOn w:val="45"/>
    <w:link w:val="43"/>
    <w:uiPriority w:val="99"/>
  </w:style>
  <w:style w:type="table" w:styleId="47">
    <w:name w:val="Table Grid"/>
    <w:basedOn w:val="599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8">
    <w:name w:val="Table Grid Light"/>
    <w:basedOn w:val="59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Plain Table 1"/>
    <w:basedOn w:val="59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0">
    <w:name w:val="Plain Table 2"/>
    <w:basedOn w:val="599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2">
    <w:name w:val="Plain Table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3">
    <w:name w:val="Plain Table 5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4">
    <w:name w:val="Grid Table 1 Light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5">
    <w:name w:val="Grid Table 1 Light - Accent 1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5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6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2">
    <w:name w:val="Grid Table 2 - Accent 1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5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6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 - Accent 1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5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6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4"/>
    <w:basedOn w:val="59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6">
    <w:name w:val="Grid Table 4 - Accent 1"/>
    <w:basedOn w:val="59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7">
    <w:name w:val="Grid Table 4 - Accent 2"/>
    <w:basedOn w:val="59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8">
    <w:name w:val="Grid Table 4 - Accent 3"/>
    <w:basedOn w:val="59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9">
    <w:name w:val="Grid Table 4 - Accent 4"/>
    <w:basedOn w:val="59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0">
    <w:name w:val="Grid Table 4 - Accent 5"/>
    <w:basedOn w:val="59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1">
    <w:name w:val="Grid Table 4 - Accent 6"/>
    <w:basedOn w:val="59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2">
    <w:name w:val="Grid Table 5 Dark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3">
    <w:name w:val="Grid Table 5 Dark- Accent 1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84">
    <w:name w:val="Grid Table 5 Dark - Accent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6">
    <w:name w:val="Grid Table 5 Dark- Accent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7">
    <w:name w:val="Grid Table 5 Dark - Accent 5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6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89">
    <w:name w:val="Grid Table 6 Colorful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0">
    <w:name w:val="Grid Table 6 Colorful - Accent 1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1">
    <w:name w:val="Grid Table 6 Colorful - Accent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2">
    <w:name w:val="Grid Table 6 Colorful - Accent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3">
    <w:name w:val="Grid Table 6 Colorful - Accent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4">
    <w:name w:val="Grid Table 6 Colorful - Accent 5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5">
    <w:name w:val="Grid Table 6 Colorful - Accent 6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7 Colorful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7">
    <w:name w:val="Grid Table 7 Colorful - Accent 1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5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6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3">
    <w:name w:val="List Table 1 Light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4">
    <w:name w:val="List Table 1 Light - Accent 1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5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6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1">
    <w:name w:val="List Table 2 - Accent 1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2">
    <w:name w:val="List Table 2 - Accent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3">
    <w:name w:val="List Table 2 - Accent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4">
    <w:name w:val="List Table 2 - Accent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5">
    <w:name w:val="List Table 2 - Accent 5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6">
    <w:name w:val="List Table 2 - Accent 6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7">
    <w:name w:val="List Table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8">
    <w:name w:val="List Table 3 - Accent 1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5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6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 - Accent 1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5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6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5 Dark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2">
    <w:name w:val="List Table 5 Dark - Accent 1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5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6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6 Colorful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39">
    <w:name w:val="List Table 6 Colorful - Accent 1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0">
    <w:name w:val="List Table 6 Colorful - Accent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1">
    <w:name w:val="List Table 6 Colorful - Accent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2">
    <w:name w:val="List Table 6 Colorful - Accent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3">
    <w:name w:val="List Table 6 Colorful - Accent 5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4">
    <w:name w:val="List Table 6 Colorful - Accent 6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5">
    <w:name w:val="List Table 7 Colorful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6">
    <w:name w:val="List Table 7 Colorful - Accent 1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147">
    <w:name w:val="List Table 7 Colorful - Accent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48">
    <w:name w:val="List Table 7 Colorful - Accent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49">
    <w:name w:val="List Table 7 Colorful - Accent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50">
    <w:name w:val="List Table 7 Colorful - Accent 5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151">
    <w:name w:val="List Table 7 Colorful - Accent 6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52">
    <w:name w:val="Lined - Accent"/>
    <w:basedOn w:val="5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3">
    <w:name w:val="Lined - Accent 1"/>
    <w:basedOn w:val="5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54">
    <w:name w:val="Lined - Accent 2"/>
    <w:basedOn w:val="5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55">
    <w:name w:val="Lined - Accent 3"/>
    <w:basedOn w:val="5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56">
    <w:name w:val="Lined - Accent 4"/>
    <w:basedOn w:val="5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57">
    <w:name w:val="Lined - Accent 5"/>
    <w:basedOn w:val="5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58">
    <w:name w:val="Lined - Accent 6"/>
    <w:basedOn w:val="5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59">
    <w:name w:val="Bordered &amp; Lined - Accent"/>
    <w:basedOn w:val="5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0">
    <w:name w:val="Bordered &amp; Lined - Accent 1"/>
    <w:basedOn w:val="5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61">
    <w:name w:val="Bordered &amp; Lined - Accent 2"/>
    <w:basedOn w:val="5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62">
    <w:name w:val="Bordered &amp; Lined - Accent 3"/>
    <w:basedOn w:val="5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63">
    <w:name w:val="Bordered &amp; Lined - Accent 4"/>
    <w:basedOn w:val="5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64">
    <w:name w:val="Bordered &amp; Lined - Accent 5"/>
    <w:basedOn w:val="5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65">
    <w:name w:val="Bordered &amp; Lined - Accent 6"/>
    <w:basedOn w:val="59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6">
    <w:name w:val="Bordered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7">
    <w:name w:val="Bordered - Accent 1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8">
    <w:name w:val="Bordered - Accent 2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69">
    <w:name w:val="Bordered - Accent 3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0">
    <w:name w:val="Bordered - Accent 4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1">
    <w:name w:val="Bordered - Accent 5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2">
    <w:name w:val="Bordered - Accent 6"/>
    <w:basedOn w:val="59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3">
    <w:name w:val="Hyperlink"/>
    <w:uiPriority w:val="99"/>
    <w:unhideWhenUsed/>
    <w:rPr>
      <w:color w:val="0000ff" w:themeColor="hyperlink"/>
      <w:u w:val="single"/>
    </w:rPr>
  </w:style>
  <w:style w:type="paragraph" w:styleId="174">
    <w:name w:val="footnote text"/>
    <w:basedOn w:val="598"/>
    <w:link w:val="175"/>
    <w:uiPriority w:val="99"/>
    <w:semiHidden/>
    <w:unhideWhenUsed/>
    <w:pPr>
      <w:spacing w:after="40" w:line="240" w:lineRule="auto"/>
    </w:pPr>
    <w:rPr>
      <w:sz w:val="18"/>
    </w:rPr>
  </w:style>
  <w:style w:type="character" w:styleId="175">
    <w:name w:val="Footnote Text Char"/>
    <w:link w:val="174"/>
    <w:uiPriority w:val="99"/>
    <w:rPr>
      <w:sz w:val="18"/>
    </w:rPr>
  </w:style>
  <w:style w:type="character" w:styleId="176">
    <w:name w:val="footnote reference"/>
    <w:basedOn w:val="10"/>
    <w:uiPriority w:val="99"/>
    <w:unhideWhenUsed/>
    <w:rPr>
      <w:vertAlign w:val="superscript"/>
    </w:rPr>
  </w:style>
  <w:style w:type="paragraph" w:styleId="177">
    <w:name w:val="endnote text"/>
    <w:basedOn w:val="598"/>
    <w:link w:val="178"/>
    <w:uiPriority w:val="99"/>
    <w:semiHidden/>
    <w:unhideWhenUsed/>
    <w:pPr>
      <w:spacing w:after="0" w:line="240" w:lineRule="auto"/>
    </w:pPr>
    <w:rPr>
      <w:sz w:val="20"/>
    </w:rPr>
  </w:style>
  <w:style w:type="character" w:styleId="178">
    <w:name w:val="Endnote Text Char"/>
    <w:link w:val="177"/>
    <w:uiPriority w:val="99"/>
    <w:rPr>
      <w:sz w:val="20"/>
    </w:rPr>
  </w:style>
  <w:style w:type="character" w:styleId="179">
    <w:name w:val="endnote reference"/>
    <w:basedOn w:val="10"/>
    <w:uiPriority w:val="99"/>
    <w:semiHidden/>
    <w:unhideWhenUsed/>
    <w:rPr>
      <w:vertAlign w:val="superscript"/>
    </w:rPr>
  </w:style>
  <w:style w:type="paragraph" w:styleId="180">
    <w:name w:val="toc 1"/>
    <w:basedOn w:val="598"/>
    <w:next w:val="598"/>
    <w:uiPriority w:val="39"/>
    <w:unhideWhenUsed/>
    <w:pPr>
      <w:ind w:left="0" w:right="0" w:firstLine="0"/>
      <w:spacing w:after="57"/>
    </w:pPr>
  </w:style>
  <w:style w:type="paragraph" w:styleId="181">
    <w:name w:val="toc 2"/>
    <w:basedOn w:val="598"/>
    <w:next w:val="598"/>
    <w:uiPriority w:val="39"/>
    <w:unhideWhenUsed/>
    <w:pPr>
      <w:ind w:left="283" w:right="0" w:firstLine="0"/>
      <w:spacing w:after="57"/>
    </w:pPr>
  </w:style>
  <w:style w:type="paragraph" w:styleId="182">
    <w:name w:val="toc 3"/>
    <w:basedOn w:val="598"/>
    <w:next w:val="598"/>
    <w:uiPriority w:val="39"/>
    <w:unhideWhenUsed/>
    <w:pPr>
      <w:ind w:left="567" w:right="0" w:firstLine="0"/>
      <w:spacing w:after="57"/>
    </w:pPr>
  </w:style>
  <w:style w:type="paragraph" w:styleId="183">
    <w:name w:val="toc 4"/>
    <w:basedOn w:val="598"/>
    <w:next w:val="598"/>
    <w:uiPriority w:val="39"/>
    <w:unhideWhenUsed/>
    <w:pPr>
      <w:ind w:left="850" w:right="0" w:firstLine="0"/>
      <w:spacing w:after="57"/>
    </w:pPr>
  </w:style>
  <w:style w:type="paragraph" w:styleId="184">
    <w:name w:val="toc 5"/>
    <w:basedOn w:val="598"/>
    <w:next w:val="598"/>
    <w:uiPriority w:val="39"/>
    <w:unhideWhenUsed/>
    <w:pPr>
      <w:ind w:left="1134" w:right="0" w:firstLine="0"/>
      <w:spacing w:after="57"/>
    </w:pPr>
  </w:style>
  <w:style w:type="paragraph" w:styleId="185">
    <w:name w:val="toc 6"/>
    <w:basedOn w:val="598"/>
    <w:next w:val="598"/>
    <w:uiPriority w:val="39"/>
    <w:unhideWhenUsed/>
    <w:pPr>
      <w:ind w:left="1417" w:right="0" w:firstLine="0"/>
      <w:spacing w:after="57"/>
    </w:pPr>
  </w:style>
  <w:style w:type="paragraph" w:styleId="186">
    <w:name w:val="toc 7"/>
    <w:basedOn w:val="598"/>
    <w:next w:val="598"/>
    <w:uiPriority w:val="39"/>
    <w:unhideWhenUsed/>
    <w:pPr>
      <w:ind w:left="1701" w:right="0" w:firstLine="0"/>
      <w:spacing w:after="57"/>
    </w:pPr>
  </w:style>
  <w:style w:type="paragraph" w:styleId="187">
    <w:name w:val="toc 8"/>
    <w:basedOn w:val="598"/>
    <w:next w:val="598"/>
    <w:uiPriority w:val="39"/>
    <w:unhideWhenUsed/>
    <w:pPr>
      <w:ind w:left="1984" w:right="0" w:firstLine="0"/>
      <w:spacing w:after="57"/>
    </w:pPr>
  </w:style>
  <w:style w:type="paragraph" w:styleId="188">
    <w:name w:val="toc 9"/>
    <w:basedOn w:val="598"/>
    <w:next w:val="598"/>
    <w:uiPriority w:val="39"/>
    <w:unhideWhenUsed/>
    <w:pPr>
      <w:ind w:left="2268" w:right="0" w:firstLine="0"/>
      <w:spacing w:after="57"/>
    </w:pPr>
  </w:style>
  <w:style w:type="paragraph" w:styleId="189">
    <w:name w:val="TOC Heading"/>
    <w:uiPriority w:val="39"/>
    <w:unhideWhenUsed/>
  </w:style>
  <w:style w:type="paragraph" w:styleId="190">
    <w:name w:val="table of figures"/>
    <w:basedOn w:val="598"/>
    <w:next w:val="598"/>
    <w:uiPriority w:val="99"/>
    <w:unhideWhenUsed/>
    <w:pPr>
      <w:spacing w:after="0" w:afterAutospacing="0"/>
    </w:pPr>
  </w:style>
  <w:style w:type="paragraph" w:styleId="598" w:default="1">
    <w:name w:val="Normal"/>
    <w:qFormat/>
    <w:pPr>
      <w:ind w:firstLine="283"/>
      <w:spacing w:before="0" w:after="0" w:line="240" w:lineRule="auto"/>
    </w:pPr>
    <w:rPr>
      <w:rFonts w:hint="default" w:ascii="Liberation Serif" w:hAnsi="Liberation Serif" w:eastAsia="Liberation Serif" w:cs="Liberation Serif"/>
      <w:sz w:val="24"/>
    </w:rPr>
  </w:style>
  <w:style w:type="table" w:styleId="59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00" w:default="1">
    <w:name w:val="No List"/>
    <w:uiPriority w:val="99"/>
    <w:semiHidden/>
    <w:unhideWhenUsed/>
  </w:style>
  <w:style w:type="paragraph" w:styleId="601">
    <w:name w:val="No Spacing"/>
    <w:basedOn w:val="598"/>
    <w:uiPriority w:val="1"/>
    <w:qFormat/>
    <w:pPr>
      <w:spacing w:after="0" w:line="240" w:lineRule="auto"/>
    </w:pPr>
  </w:style>
  <w:style w:type="paragraph" w:styleId="602">
    <w:name w:val="List Paragraph"/>
    <w:basedOn w:val="598"/>
    <w:uiPriority w:val="34"/>
    <w:qFormat/>
    <w:pPr>
      <w:contextualSpacing/>
      <w:ind w:left="720"/>
    </w:pPr>
  </w:style>
  <w:style w:type="character" w:styleId="607" w:default="1">
    <w:name w:val="Default Paragraph Font"/>
    <w:uiPriority w:val="1"/>
    <w:semiHidden/>
    <w:unhideWhenUsed/>
  </w:style>
  <w:style w:type="paragraph" w:styleId="632">
    <w:name w:val="Normal paragraph"/>
    <w:basedOn w:val="598"/>
    <w:uiPriority w:val="1"/>
    <w:qFormat/>
    <w:pPr>
      <w:spacing w:before="170"/>
    </w:pPr>
  </w:style>
  <w:style w:type="table" w:styleId="813">
    <w:name w:val="Таблица 1"/>
    <w:uiPriority w:val="1"/>
    <w:qFormat/>
    <w:tblPr>
      <w:tblInd w:w="0" w:type="dxa"/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  <w:insideH w:val="single" w:color="000000" w:sz="8" w:space="0"/>
        <w:insideV w:val="single" w:color="000000" w:sz="8" w:space="0"/>
      </w:tblBorders>
    </w:tblPr>
    <w:tcPr>
      <w:tcMar>
        <w:left w:w="85" w:type="dxa"/>
        <w:top w:w="91" w:type="dxa"/>
        <w:right w:w="85" w:type="dxa"/>
        <w:bottom w:w="91" w:type="dxa"/>
      </w:tcMar>
      <w:vAlign w:val="center"/>
    </w:tcPr>
  </w:style>
  <w:style w:type="paragraph" w:styleId="814">
    <w:name w:val="Таблица 1. Заголовок"/>
    <w:uiPriority w:val="1"/>
    <w:qFormat/>
    <w:pPr>
      <w:ind w:left="0" w:right="0"/>
      <w:jc w:val="center"/>
      <w:spacing w:after="0" w:line="240" w:lineRule="auto"/>
    </w:pPr>
    <w:rPr>
      <w:rFonts w:hint="default" w:ascii="Liberation Serif" w:hAnsi="Liberation Serif" w:eastAsia="Liberation Serif" w:cs="Liberation Serif"/>
      <w:b/>
      <w:sz w:val="20"/>
    </w:rPr>
  </w:style>
  <w:style w:type="paragraph" w:styleId="815">
    <w:name w:val="Таблица 1. Число"/>
    <w:basedOn w:val="814"/>
    <w:uiPriority w:val="1"/>
    <w:qFormat/>
    <w:pPr>
      <w:jc w:val="right"/>
    </w:pPr>
    <w:rPr/>
  </w:style>
  <w:style w:type="paragraph" w:styleId="816">
    <w:name w:val="Таблица 1. Строка"/>
    <w:basedOn w:val="814"/>
    <w:uiPriority w:val="1"/>
    <w:qFormat/>
    <w:pPr>
      <w:jc w:val="left"/>
    </w:pPr>
    <w:rPr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ONLYOFFICE/7.2.0.134</Application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revision>1</cp:revision>
  <dcterms:modified xsi:type="dcterms:W3CDTF">2026-03-03T12:14:08Z</dcterms:modified>
</cp:coreProperties>
</file>